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1.文艺表演团体机构分析</w:t>
      </w:r>
    </w:p>
    <w:p>
      <w:pPr>
        <w:rPr>
          <w:b/>
        </w:rPr>
      </w:pPr>
      <w:r>
        <w:rPr>
          <w:rFonts w:hint="eastAsia"/>
          <w:b/>
        </w:rPr>
        <w:t>按地域隶属管辖关系分</w:t>
      </w:r>
    </w:p>
    <w:p>
      <w:pPr>
        <w:rPr>
          <w:b/>
        </w:rPr>
      </w:pPr>
      <w:r>
        <w:rPr>
          <w:rFonts w:hint="eastAsia"/>
          <w:b/>
        </w:rPr>
        <w:t xml:space="preserve">  中央</w:t>
      </w:r>
    </w:p>
    <w:p>
      <w:pPr>
        <w:rPr>
          <w:b/>
        </w:rPr>
      </w:pPr>
      <w:r>
        <w:rPr>
          <w:rFonts w:hint="eastAsia"/>
          <w:b/>
        </w:rPr>
        <w:t xml:space="preserve">  省级行政区</w:t>
      </w:r>
    </w:p>
    <w:p>
      <w:pPr>
        <w:rPr>
          <w:b/>
        </w:rPr>
      </w:pPr>
      <w:r>
        <w:rPr>
          <w:rFonts w:hint="eastAsia"/>
          <w:b/>
        </w:rPr>
        <w:t xml:space="preserve">  地市（专区）</w:t>
      </w:r>
    </w:p>
    <w:p>
      <w:pPr>
        <w:rPr>
          <w:b/>
        </w:rPr>
      </w:pPr>
      <w:r>
        <w:rPr>
          <w:rFonts w:hint="eastAsia"/>
          <w:b/>
        </w:rPr>
        <w:t xml:space="preserve">  县、县级市、区</w:t>
      </w: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按单位类型分</w:t>
      </w:r>
    </w:p>
    <w:p>
      <w:pPr>
        <w:rPr>
          <w:b/>
        </w:rPr>
      </w:pPr>
      <w:r>
        <w:rPr>
          <w:rFonts w:hint="eastAsia"/>
          <w:b/>
        </w:rPr>
        <w:t xml:space="preserve">  公有制（国有、国营）</w:t>
      </w:r>
    </w:p>
    <w:p>
      <w:pPr>
        <w:rPr>
          <w:b/>
        </w:rPr>
      </w:pPr>
      <w:r>
        <w:rPr>
          <w:rFonts w:hint="eastAsia"/>
          <w:b/>
        </w:rPr>
        <w:t xml:space="preserve">   </w:t>
      </w:r>
      <w:r>
        <w:rPr>
          <w:b/>
        </w:rPr>
        <w:t xml:space="preserve">   </w:t>
      </w:r>
      <w:r>
        <w:rPr>
          <w:rFonts w:hint="eastAsia"/>
          <w:b/>
        </w:rPr>
        <w:t>文化部门主管</w:t>
      </w:r>
    </w:p>
    <w:p>
      <w:pPr>
        <w:rPr>
          <w:b/>
        </w:rPr>
      </w:pPr>
      <w:r>
        <w:rPr>
          <w:rFonts w:hint="eastAsia"/>
          <w:b/>
        </w:rPr>
        <w:t xml:space="preserve">      </w:t>
      </w:r>
      <w:r>
        <w:rPr>
          <w:b/>
        </w:rPr>
        <w:t xml:space="preserve">    </w:t>
      </w:r>
      <w:r>
        <w:rPr>
          <w:rFonts w:hint="eastAsia"/>
          <w:b/>
        </w:rPr>
        <w:t>执行事业会计制度</w:t>
      </w:r>
    </w:p>
    <w:p>
      <w:pPr>
        <w:rPr>
          <w:b/>
        </w:rPr>
      </w:pPr>
      <w:r>
        <w:rPr>
          <w:rFonts w:hint="eastAsia"/>
          <w:b/>
        </w:rPr>
        <w:t xml:space="preserve">      </w:t>
      </w:r>
      <w:r>
        <w:rPr>
          <w:b/>
        </w:rPr>
        <w:t xml:space="preserve">    </w:t>
      </w:r>
      <w:r>
        <w:rPr>
          <w:rFonts w:hint="eastAsia"/>
          <w:b/>
        </w:rPr>
        <w:t>执行企业会计制度</w:t>
      </w:r>
    </w:p>
    <w:p>
      <w:pPr>
        <w:rPr>
          <w:b/>
        </w:rPr>
      </w:pPr>
      <w:r>
        <w:rPr>
          <w:rFonts w:hint="eastAsia"/>
          <w:b/>
        </w:rPr>
        <w:t xml:space="preserve">    </w:t>
      </w:r>
      <w:r>
        <w:rPr>
          <w:b/>
        </w:rPr>
        <w:t xml:space="preserve">  </w:t>
      </w:r>
      <w:r>
        <w:rPr>
          <w:rFonts w:hint="eastAsia"/>
          <w:b/>
        </w:rPr>
        <w:t>其他部门主管</w:t>
      </w:r>
    </w:p>
    <w:p>
      <w:pPr>
        <w:rPr>
          <w:b/>
        </w:rPr>
      </w:pPr>
      <w:r>
        <w:rPr>
          <w:rFonts w:hint="eastAsia"/>
          <w:b/>
        </w:rPr>
        <w:t xml:space="preserve">  非公有制</w:t>
      </w:r>
    </w:p>
    <w:p>
      <w:pPr>
        <w:ind w:firstLine="632" w:firstLineChars="300"/>
        <w:rPr>
          <w:b/>
        </w:rPr>
      </w:pPr>
      <w:r>
        <w:rPr>
          <w:rFonts w:hint="eastAsia"/>
          <w:b/>
        </w:rPr>
        <w:t>集体</w:t>
      </w:r>
    </w:p>
    <w:p>
      <w:pPr>
        <w:ind w:firstLine="632" w:firstLineChars="300"/>
        <w:rPr>
          <w:b/>
        </w:rPr>
      </w:pPr>
      <w:r>
        <w:rPr>
          <w:rFonts w:hint="eastAsia"/>
          <w:b/>
        </w:rPr>
        <w:t>民营</w:t>
      </w: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按剧种分</w:t>
      </w:r>
    </w:p>
    <w:p>
      <w:pPr>
        <w:rPr>
          <w:b/>
        </w:rPr>
      </w:pPr>
      <w:r>
        <w:rPr>
          <w:rFonts w:hint="eastAsia"/>
          <w:b/>
        </w:rPr>
        <w:t xml:space="preserve"> </w:t>
      </w:r>
    </w:p>
    <w:tbl>
      <w:tblPr>
        <w:tblStyle w:val="7"/>
        <w:tblW w:w="844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4"/>
        <w:gridCol w:w="2882"/>
        <w:gridCol w:w="267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8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1996-2003</w:t>
            </w:r>
          </w:p>
        </w:tc>
        <w:tc>
          <w:tcPr>
            <w:tcW w:w="288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2004-2012</w:t>
            </w:r>
          </w:p>
        </w:tc>
        <w:tc>
          <w:tcPr>
            <w:tcW w:w="267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2013-2015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884" w:type="dxa"/>
            <w:tcBorders>
              <w:bottom w:val="nil"/>
            </w:tcBorders>
            <w:vAlign w:val="bottom"/>
          </w:tcPr>
          <w:p>
            <w:pP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．话剧、儿童剧、滑稽剧团</w:t>
            </w:r>
          </w:p>
        </w:tc>
        <w:tc>
          <w:tcPr>
            <w:tcW w:w="2882" w:type="dxa"/>
            <w:tcBorders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．话剧、儿童剧、滑稽剧团</w:t>
            </w:r>
          </w:p>
        </w:tc>
        <w:tc>
          <w:tcPr>
            <w:tcW w:w="2674" w:type="dxa"/>
            <w:tcBorders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1.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话剧、儿童剧、滑稽剧类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84" w:type="dxa"/>
            <w:tcBorders>
              <w:top w:val="nil"/>
              <w:bottom w:val="nil"/>
            </w:tcBorders>
            <w:vAlign w:val="bottom"/>
          </w:tcPr>
          <w:p>
            <w:pP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其中：儿童剧团</w:t>
            </w:r>
          </w:p>
        </w:tc>
        <w:tc>
          <w:tcPr>
            <w:tcW w:w="288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其中：儿童剧团</w:t>
            </w:r>
          </w:p>
        </w:tc>
        <w:tc>
          <w:tcPr>
            <w:tcW w:w="2674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其中：儿童剧团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84" w:type="dxa"/>
            <w:tcBorders>
              <w:top w:val="nil"/>
              <w:bottom w:val="nil"/>
            </w:tcBorders>
            <w:vAlign w:val="bottom"/>
          </w:tcPr>
          <w:p>
            <w:pP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．歌剧、舞剧、歌舞剧团</w:t>
            </w:r>
          </w:p>
        </w:tc>
        <w:tc>
          <w:tcPr>
            <w:tcW w:w="288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．歌剧、舞剧、歌舞剧团</w:t>
            </w:r>
          </w:p>
        </w:tc>
        <w:tc>
          <w:tcPr>
            <w:tcW w:w="2674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2.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歌舞、音乐类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84" w:type="dxa"/>
            <w:tcBorders>
              <w:top w:val="nil"/>
              <w:bottom w:val="nil"/>
            </w:tcBorders>
            <w:vAlign w:val="bottom"/>
          </w:tcPr>
          <w:p>
            <w:pP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．歌舞团、轻音乐团</w:t>
            </w:r>
          </w:p>
        </w:tc>
        <w:tc>
          <w:tcPr>
            <w:tcW w:w="288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．歌舞团、轻音乐团</w:t>
            </w:r>
          </w:p>
        </w:tc>
        <w:tc>
          <w:tcPr>
            <w:tcW w:w="2674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3.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京剧、昆曲类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84" w:type="dxa"/>
            <w:tcBorders>
              <w:top w:val="nil"/>
              <w:bottom w:val="nil"/>
            </w:tcBorders>
            <w:vAlign w:val="bottom"/>
          </w:tcPr>
          <w:p>
            <w:pP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．乐团</w:t>
            </w:r>
          </w:p>
        </w:tc>
        <w:tc>
          <w:tcPr>
            <w:tcW w:w="288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4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．乐团、合唱团</w:t>
            </w:r>
          </w:p>
        </w:tc>
        <w:tc>
          <w:tcPr>
            <w:tcW w:w="2674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其中：京剧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84" w:type="dxa"/>
            <w:tcBorders>
              <w:top w:val="nil"/>
              <w:bottom w:val="nil"/>
            </w:tcBorders>
            <w:vAlign w:val="bottom"/>
          </w:tcPr>
          <w:p>
            <w:pP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．文工团、文宣队、乌兰牧骑</w:t>
            </w:r>
          </w:p>
        </w:tc>
        <w:tc>
          <w:tcPr>
            <w:tcW w:w="288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5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．文工团、文宣队、乌兰牧骑</w:t>
            </w:r>
          </w:p>
        </w:tc>
        <w:tc>
          <w:tcPr>
            <w:tcW w:w="2674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4.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地方戏曲类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84" w:type="dxa"/>
            <w:tcBorders>
              <w:top w:val="nil"/>
              <w:bottom w:val="nil"/>
            </w:tcBorders>
            <w:vAlign w:val="bottom"/>
          </w:tcPr>
          <w:p>
            <w:pP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．戏曲剧团</w:t>
            </w:r>
          </w:p>
        </w:tc>
        <w:tc>
          <w:tcPr>
            <w:tcW w:w="288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6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．戏曲剧团</w:t>
            </w:r>
          </w:p>
        </w:tc>
        <w:tc>
          <w:tcPr>
            <w:tcW w:w="2674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5.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杂技、魔术、马戏类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84" w:type="dxa"/>
            <w:tcBorders>
              <w:top w:val="nil"/>
              <w:bottom w:val="nil"/>
            </w:tcBorders>
            <w:vAlign w:val="bottom"/>
          </w:tcPr>
          <w:p>
            <w:pP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其中：京剧</w:t>
            </w:r>
          </w:p>
        </w:tc>
        <w:tc>
          <w:tcPr>
            <w:tcW w:w="288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其中：京剧</w:t>
            </w:r>
          </w:p>
        </w:tc>
        <w:tc>
          <w:tcPr>
            <w:tcW w:w="2674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6.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曲艺类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84" w:type="dxa"/>
            <w:tcBorders>
              <w:top w:val="nil"/>
              <w:bottom w:val="nil"/>
            </w:tcBorders>
            <w:vAlign w:val="bottom"/>
          </w:tcPr>
          <w:p>
            <w:pP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．曲、杂、木、皮团</w:t>
            </w:r>
          </w:p>
        </w:tc>
        <w:tc>
          <w:tcPr>
            <w:tcW w:w="2882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7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．曲、杂、木、皮团</w:t>
            </w:r>
          </w:p>
        </w:tc>
        <w:tc>
          <w:tcPr>
            <w:tcW w:w="2674" w:type="dxa"/>
            <w:tcBorders>
              <w:top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7.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乌兰牧骑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884" w:type="dxa"/>
            <w:tcBorders>
              <w:top w:val="nil"/>
            </w:tcBorders>
            <w:vAlign w:val="bottom"/>
          </w:tcPr>
          <w:p>
            <w:pP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</w:p>
        </w:tc>
        <w:tc>
          <w:tcPr>
            <w:tcW w:w="2882" w:type="dxa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8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．综合性艺术表演团体</w:t>
            </w:r>
          </w:p>
        </w:tc>
        <w:tc>
          <w:tcPr>
            <w:tcW w:w="2674" w:type="dxa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黑体" w:cs="Times New Roman"/>
                <w:kern w:val="0"/>
                <w:sz w:val="18"/>
                <w:szCs w:val="18"/>
              </w:rPr>
              <w:t>8.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  <w:t>综合性艺术表演团体</w:t>
            </w: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数据均来源于《中国文化文物统计年鉴》（1996-2017），1996年的年鉴有历史数据的报告，是从1985-2005年数据，所以数据最多从1985-2016年。其中，1985-2003年只报告了文化部门主管的事业剧团数据，在此之前，几乎所有的剧团都是事业单位。2003年开始“转企改制”试点，部分剧团从事业单位改为企业单位，所以直到2004年开始才报告国有企业剧团的数据。2005年结束试点，开始全国范围改制，同时发布《关于非公有制资本进入文化产业的若干决定》，允许并鼓励非公有资本进入艺术表演等领域。但是关于民间职业剧团的报告始于2009年，正式提出非公有制剧团这个概念是在2013年。</w:t>
      </w:r>
    </w:p>
    <w:p>
      <w:pPr>
        <w:rPr>
          <w:b/>
        </w:rPr>
      </w:pPr>
    </w:p>
    <w:p>
      <w:pPr>
        <w:rPr>
          <w:rFonts w:hint="eastAsia"/>
          <w:b/>
        </w:rPr>
      </w:pPr>
    </w:p>
    <w:p>
      <w:pPr>
        <w:rPr>
          <w:b/>
        </w:rPr>
      </w:pPr>
      <w:r>
        <w:rPr>
          <w:rFonts w:hint="eastAsia"/>
          <w:b/>
        </w:rPr>
        <w:t>2. 艺术表演场馆</w:t>
      </w:r>
    </w:p>
    <w:p>
      <w:pPr>
        <w:rPr>
          <w:b/>
        </w:rPr>
      </w:pPr>
      <w:r>
        <w:rPr>
          <w:rFonts w:hint="eastAsia"/>
          <w:b/>
        </w:rPr>
        <w:t>按地域隶属管辖关系分</w:t>
      </w:r>
    </w:p>
    <w:p>
      <w:pPr>
        <w:rPr>
          <w:b/>
        </w:rPr>
      </w:pPr>
      <w:r>
        <w:rPr>
          <w:rFonts w:hint="eastAsia"/>
          <w:b/>
        </w:rPr>
        <w:t xml:space="preserve">  中央</w:t>
      </w:r>
    </w:p>
    <w:p>
      <w:pPr>
        <w:rPr>
          <w:b/>
        </w:rPr>
      </w:pPr>
      <w:r>
        <w:rPr>
          <w:rFonts w:hint="eastAsia"/>
          <w:b/>
        </w:rPr>
        <w:t xml:space="preserve">  省级行政区</w:t>
      </w:r>
    </w:p>
    <w:p>
      <w:pPr>
        <w:rPr>
          <w:b/>
        </w:rPr>
      </w:pPr>
      <w:r>
        <w:rPr>
          <w:rFonts w:hint="eastAsia"/>
          <w:b/>
        </w:rPr>
        <w:t xml:space="preserve">  地市（专区）</w:t>
      </w:r>
    </w:p>
    <w:p>
      <w:pPr>
        <w:rPr>
          <w:b/>
        </w:rPr>
      </w:pPr>
      <w:r>
        <w:rPr>
          <w:rFonts w:hint="eastAsia"/>
          <w:b/>
        </w:rPr>
        <w:t xml:space="preserve">  县、县级市、区</w:t>
      </w: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按单位性质分</w:t>
      </w:r>
    </w:p>
    <w:p>
      <w:pPr>
        <w:rPr>
          <w:b/>
        </w:rPr>
      </w:pPr>
      <w:r>
        <w:rPr>
          <w:rFonts w:hint="eastAsia"/>
          <w:b/>
        </w:rPr>
        <w:t xml:space="preserve"> 公有制</w:t>
      </w:r>
    </w:p>
    <w:p>
      <w:pPr>
        <w:rPr>
          <w:b/>
        </w:rPr>
      </w:pPr>
      <w:r>
        <w:rPr>
          <w:rFonts w:hint="eastAsia"/>
          <w:b/>
        </w:rPr>
        <w:t xml:space="preserve">   文化部门</w:t>
      </w:r>
    </w:p>
    <w:p>
      <w:pPr>
        <w:rPr>
          <w:b/>
        </w:rPr>
      </w:pPr>
      <w:r>
        <w:rPr>
          <w:rFonts w:hint="eastAsia"/>
          <w:b/>
        </w:rPr>
        <w:t xml:space="preserve">     事业会计制度</w:t>
      </w:r>
    </w:p>
    <w:p>
      <w:pPr>
        <w:rPr>
          <w:b/>
        </w:rPr>
      </w:pPr>
      <w:r>
        <w:rPr>
          <w:rFonts w:hint="eastAsia"/>
          <w:b/>
        </w:rPr>
        <w:t xml:space="preserve">     企业会计制度</w:t>
      </w:r>
    </w:p>
    <w:p>
      <w:pPr>
        <w:rPr>
          <w:b/>
        </w:rPr>
      </w:pPr>
      <w:r>
        <w:rPr>
          <w:rFonts w:hint="eastAsia"/>
          <w:b/>
        </w:rPr>
        <w:t xml:space="preserve">   其他部门</w:t>
      </w:r>
    </w:p>
    <w:p>
      <w:pPr>
        <w:rPr>
          <w:b/>
        </w:rPr>
      </w:pPr>
      <w:r>
        <w:rPr>
          <w:rFonts w:hint="eastAsia"/>
          <w:b/>
        </w:rPr>
        <w:t xml:space="preserve"> 非公有制</w:t>
      </w:r>
    </w:p>
    <w:p>
      <w:pPr>
        <w:rPr>
          <w:b/>
        </w:rPr>
      </w:pPr>
      <w:r>
        <w:rPr>
          <w:rFonts w:hint="eastAsia"/>
          <w:b/>
        </w:rPr>
        <w:t xml:space="preserve">   集体</w:t>
      </w:r>
    </w:p>
    <w:p>
      <w:pPr>
        <w:rPr>
          <w:b/>
        </w:rPr>
      </w:pPr>
      <w:r>
        <w:rPr>
          <w:rFonts w:hint="eastAsia"/>
          <w:b/>
        </w:rPr>
        <w:t xml:space="preserve">   民营</w:t>
      </w: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按机构类型分</w:t>
      </w:r>
    </w:p>
    <w:p>
      <w:pPr>
        <w:pStyle w:val="8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附属剧场</w:t>
      </w:r>
    </w:p>
    <w:p>
      <w:pPr>
        <w:pStyle w:val="8"/>
        <w:ind w:left="450" w:firstLine="0" w:firstLineChars="0"/>
        <w:rPr>
          <w:b/>
        </w:rPr>
      </w:pPr>
      <w:r>
        <w:rPr>
          <w:rFonts w:hint="eastAsia"/>
          <w:b/>
        </w:rPr>
        <w:t>儿童剧场</w:t>
      </w:r>
    </w:p>
    <w:p>
      <w:pPr>
        <w:pStyle w:val="8"/>
        <w:ind w:left="450" w:firstLine="0" w:firstLineChars="0"/>
        <w:rPr>
          <w:b/>
        </w:rPr>
      </w:pPr>
      <w:r>
        <w:rPr>
          <w:rFonts w:hint="eastAsia"/>
          <w:b/>
        </w:rPr>
        <w:t>其他</w:t>
      </w:r>
    </w:p>
    <w:p>
      <w:pPr>
        <w:pStyle w:val="8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剧场</w:t>
      </w:r>
    </w:p>
    <w:p>
      <w:pPr>
        <w:pStyle w:val="8"/>
        <w:ind w:left="450" w:firstLine="0" w:firstLineChars="0"/>
        <w:rPr>
          <w:b/>
        </w:rPr>
      </w:pPr>
      <w:r>
        <w:rPr>
          <w:rFonts w:hint="eastAsia"/>
          <w:b/>
        </w:rPr>
        <w:t>影剧院</w:t>
      </w:r>
    </w:p>
    <w:p>
      <w:pPr>
        <w:pStyle w:val="8"/>
        <w:ind w:left="450" w:firstLine="0" w:firstLineChars="0"/>
        <w:rPr>
          <w:b/>
        </w:rPr>
      </w:pPr>
      <w:r>
        <w:rPr>
          <w:rFonts w:hint="eastAsia"/>
          <w:b/>
        </w:rPr>
        <w:t>书场、曲艺场</w:t>
      </w:r>
    </w:p>
    <w:p>
      <w:pPr>
        <w:pStyle w:val="8"/>
        <w:ind w:left="450" w:firstLine="0" w:firstLineChars="0"/>
        <w:rPr>
          <w:b/>
        </w:rPr>
      </w:pPr>
      <w:r>
        <w:rPr>
          <w:rFonts w:hint="eastAsia"/>
          <w:b/>
        </w:rPr>
        <w:t>杂志、马戏场</w:t>
      </w:r>
    </w:p>
    <w:p>
      <w:pPr>
        <w:pStyle w:val="8"/>
        <w:ind w:left="450" w:firstLine="0" w:firstLineChars="0"/>
        <w:rPr>
          <w:b/>
        </w:rPr>
      </w:pPr>
      <w:r>
        <w:rPr>
          <w:rFonts w:hint="eastAsia"/>
          <w:b/>
        </w:rPr>
        <w:t>音乐厅</w:t>
      </w:r>
    </w:p>
    <w:p>
      <w:pPr>
        <w:pStyle w:val="8"/>
        <w:ind w:left="450" w:firstLine="0" w:firstLineChars="0"/>
        <w:rPr>
          <w:b/>
        </w:rPr>
      </w:pPr>
      <w:r>
        <w:rPr>
          <w:rFonts w:hint="eastAsia"/>
          <w:b/>
        </w:rPr>
        <w:t>综合性</w:t>
      </w:r>
    </w:p>
    <w:p>
      <w:pPr>
        <w:pStyle w:val="8"/>
        <w:ind w:left="450" w:firstLine="0" w:firstLineChars="0"/>
        <w:rPr>
          <w:b/>
        </w:rPr>
      </w:pPr>
      <w:r>
        <w:rPr>
          <w:rFonts w:hint="eastAsia"/>
          <w:b/>
        </w:rPr>
        <w:t>其他艺术表演场所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论文题目：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7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" w:type="dxa"/>
          </w:tcPr>
          <w:p>
            <w:pP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7390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国有事业艺术表演团体财务分析：基于全国层面和跨省数据的分析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7390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国有事业艺术表演团体收入分析：基于全国层面和跨省数据的分析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7390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国有事业艺术表演团体支出分析：基于全国层面和跨省数据的分析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7390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国有事业艺术表演团体从业者收入分析：基于全国层面和跨省数据的分析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390" w:type="dxa"/>
          </w:tcPr>
          <w:p>
            <w:pP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" w:type="dxa"/>
          </w:tcPr>
          <w:p>
            <w:pP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7390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国有企业艺术表演团体财务分析：基于全国层面和跨省数据的分析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7390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国有企业艺术表演团体收入分析：基于全国层面和跨省数据的分析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7390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国有企业艺术表演团体支出分析：基于全国层面和跨省数据的分析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7390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国有企业艺术表演团体从业者收入分析：基于全国层面和跨省数据的分析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390" w:type="dxa"/>
          </w:tcPr>
          <w:p>
            <w:pP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" w:type="dxa"/>
          </w:tcPr>
          <w:p>
            <w:pP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7390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民办艺术表演团体财务分析：基于全国层面和跨省数据的分析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7390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民办艺术表演团体收入分析：基于全国层面和跨省数据的分析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7390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民办艺术表演团体支出分析：基于全国层面和跨省数据的分析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13</w:t>
            </w:r>
          </w:p>
        </w:tc>
        <w:tc>
          <w:tcPr>
            <w:tcW w:w="7390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民办艺术表演团体从业者收入分析：基于全国层面和跨省数据的分析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390" w:type="dxa"/>
          </w:tcPr>
          <w:p>
            <w:pP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" w:type="dxa"/>
          </w:tcPr>
          <w:p>
            <w:pP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14</w:t>
            </w:r>
          </w:p>
        </w:tc>
        <w:tc>
          <w:tcPr>
            <w:tcW w:w="7390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国有事业艺术表演场馆财务分析：基于全国层面和跨省数据的分析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15</w:t>
            </w:r>
          </w:p>
        </w:tc>
        <w:tc>
          <w:tcPr>
            <w:tcW w:w="7390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国有事业艺术表演场馆收入分析：基于全国层面和跨省数据的分析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16</w:t>
            </w:r>
          </w:p>
        </w:tc>
        <w:tc>
          <w:tcPr>
            <w:tcW w:w="7390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国有事业艺术表演场馆支出分析：基于全国层面和跨省数据的分析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17</w:t>
            </w:r>
          </w:p>
        </w:tc>
        <w:tc>
          <w:tcPr>
            <w:tcW w:w="7390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国有事业艺术表演场馆从业者收入分析：基于全国层面和跨省数据的分析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390" w:type="dxa"/>
          </w:tcPr>
          <w:p>
            <w:pP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" w:type="dxa"/>
          </w:tcPr>
          <w:p>
            <w:pP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18</w:t>
            </w:r>
          </w:p>
        </w:tc>
        <w:tc>
          <w:tcPr>
            <w:tcW w:w="7390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国有企业艺术表演场馆财务分析：基于全国层面和跨省数据的分析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19</w:t>
            </w:r>
          </w:p>
        </w:tc>
        <w:tc>
          <w:tcPr>
            <w:tcW w:w="7390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国有企业艺术表演场馆收入分析：基于全国层面和跨省数据的分析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20</w:t>
            </w:r>
          </w:p>
        </w:tc>
        <w:tc>
          <w:tcPr>
            <w:tcW w:w="7390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国有企业艺术表演场馆支出分析：基于全国层面和跨省数据的分析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21</w:t>
            </w:r>
          </w:p>
        </w:tc>
        <w:tc>
          <w:tcPr>
            <w:tcW w:w="7390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国有企业艺术表演场馆从业者收入分析：基于全国层面和跨省数据的分析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390" w:type="dxa"/>
          </w:tcPr>
          <w:p>
            <w:pP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" w:type="dxa"/>
          </w:tcPr>
          <w:p>
            <w:pP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22</w:t>
            </w:r>
          </w:p>
        </w:tc>
        <w:tc>
          <w:tcPr>
            <w:tcW w:w="7390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民办艺术表演场馆财务分析：基于全国层面和跨省数据的分析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7390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民办艺术表演场馆收入分析：基于全国层面和跨省数据的分析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24</w:t>
            </w:r>
          </w:p>
        </w:tc>
        <w:tc>
          <w:tcPr>
            <w:tcW w:w="7390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民办艺术表演场馆支出分析：基于全国层面和跨省数据的分析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25</w:t>
            </w:r>
          </w:p>
        </w:tc>
        <w:tc>
          <w:tcPr>
            <w:tcW w:w="7390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民办艺术表演场馆从业者收入分析：基于全国层面和跨省数据的分析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7390" w:type="dxa"/>
          </w:tcPr>
          <w:p>
            <w:pP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" w:type="dxa"/>
          </w:tcPr>
          <w:p>
            <w:pPr>
              <w:rPr>
                <w:rFonts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26</w:t>
            </w:r>
          </w:p>
        </w:tc>
        <w:tc>
          <w:tcPr>
            <w:tcW w:w="7390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财政拨款促进了艺术表演团体的演出和财务绩效了吗？基于2010-2016年跨省分剧种数据的分析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27</w:t>
            </w:r>
          </w:p>
        </w:tc>
        <w:tc>
          <w:tcPr>
            <w:tcW w:w="7390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原创剧目促进了艺术表演团体的演出和财务绩效了吗？基于2010-2016年跨省分剧种数据的分析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28</w:t>
            </w:r>
          </w:p>
        </w:tc>
        <w:tc>
          <w:tcPr>
            <w:tcW w:w="7390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事改企改进了国有艺术表演团体的演出和财务绩效了吗？基于2009-2016年跨省数据的分析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29</w:t>
            </w:r>
          </w:p>
        </w:tc>
        <w:tc>
          <w:tcPr>
            <w:tcW w:w="7390" w:type="dxa"/>
          </w:tcPr>
          <w:p>
            <w:pP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0"/>
                <w:szCs w:val="20"/>
              </w:rPr>
              <w:t>事改企改进了国有艺术表演团体演出和财务绩效了吗？基于东方演艺集团个案的研究</w:t>
            </w: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 xml:space="preserve"> </w:t>
      </w:r>
    </w:p>
    <w:p>
      <w:pPr>
        <w:rPr>
          <w:b/>
        </w:rPr>
      </w:pPr>
      <w:r>
        <w:rPr>
          <w:rFonts w:hint="eastAsia"/>
          <w:b/>
        </w:rPr>
        <w:t xml:space="preserve"> </w:t>
      </w:r>
    </w:p>
    <w:p>
      <w:pPr>
        <w:rPr>
          <w:b/>
        </w:rPr>
      </w:pPr>
      <w:r>
        <w:rPr>
          <w:rFonts w:hint="eastAsia"/>
          <w:b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C1E4B"/>
    <w:multiLevelType w:val="multilevel"/>
    <w:tmpl w:val="2DCC1E4B"/>
    <w:lvl w:ilvl="0" w:tentative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30" w:hanging="420"/>
      </w:pPr>
    </w:lvl>
    <w:lvl w:ilvl="2" w:tentative="0">
      <w:start w:val="1"/>
      <w:numFmt w:val="lowerRoman"/>
      <w:lvlText w:val="%3."/>
      <w:lvlJc w:val="right"/>
      <w:pPr>
        <w:ind w:left="1350" w:hanging="420"/>
      </w:pPr>
    </w:lvl>
    <w:lvl w:ilvl="3" w:tentative="0">
      <w:start w:val="1"/>
      <w:numFmt w:val="decimal"/>
      <w:lvlText w:val="%4."/>
      <w:lvlJc w:val="left"/>
      <w:pPr>
        <w:ind w:left="1770" w:hanging="420"/>
      </w:pPr>
    </w:lvl>
    <w:lvl w:ilvl="4" w:tentative="0">
      <w:start w:val="1"/>
      <w:numFmt w:val="lowerLetter"/>
      <w:lvlText w:val="%5)"/>
      <w:lvlJc w:val="left"/>
      <w:pPr>
        <w:ind w:left="2190" w:hanging="420"/>
      </w:pPr>
    </w:lvl>
    <w:lvl w:ilvl="5" w:tentative="0">
      <w:start w:val="1"/>
      <w:numFmt w:val="lowerRoman"/>
      <w:lvlText w:val="%6."/>
      <w:lvlJc w:val="right"/>
      <w:pPr>
        <w:ind w:left="2610" w:hanging="420"/>
      </w:pPr>
    </w:lvl>
    <w:lvl w:ilvl="6" w:tentative="0">
      <w:start w:val="1"/>
      <w:numFmt w:val="decimal"/>
      <w:lvlText w:val="%7."/>
      <w:lvlJc w:val="left"/>
      <w:pPr>
        <w:ind w:left="3030" w:hanging="420"/>
      </w:pPr>
    </w:lvl>
    <w:lvl w:ilvl="7" w:tentative="0">
      <w:start w:val="1"/>
      <w:numFmt w:val="lowerLetter"/>
      <w:lvlText w:val="%8)"/>
      <w:lvlJc w:val="left"/>
      <w:pPr>
        <w:ind w:left="3450" w:hanging="420"/>
      </w:pPr>
    </w:lvl>
    <w:lvl w:ilvl="8" w:tentative="0">
      <w:start w:val="1"/>
      <w:numFmt w:val="lowerRoman"/>
      <w:lvlText w:val="%9."/>
      <w:lvlJc w:val="right"/>
      <w:pPr>
        <w:ind w:left="38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F5"/>
    <w:rsid w:val="001013F5"/>
    <w:rsid w:val="00127B09"/>
    <w:rsid w:val="00162003"/>
    <w:rsid w:val="001A3458"/>
    <w:rsid w:val="001A529D"/>
    <w:rsid w:val="002563E2"/>
    <w:rsid w:val="00391A61"/>
    <w:rsid w:val="003A1BBE"/>
    <w:rsid w:val="003A7358"/>
    <w:rsid w:val="003B224C"/>
    <w:rsid w:val="00404E0C"/>
    <w:rsid w:val="00432159"/>
    <w:rsid w:val="00437002"/>
    <w:rsid w:val="00473348"/>
    <w:rsid w:val="004B44F6"/>
    <w:rsid w:val="005D2323"/>
    <w:rsid w:val="005D4130"/>
    <w:rsid w:val="00625C5E"/>
    <w:rsid w:val="0063634E"/>
    <w:rsid w:val="006A4811"/>
    <w:rsid w:val="006B1E73"/>
    <w:rsid w:val="006D34C1"/>
    <w:rsid w:val="00713FB5"/>
    <w:rsid w:val="00716AB5"/>
    <w:rsid w:val="00740B03"/>
    <w:rsid w:val="00744736"/>
    <w:rsid w:val="007B24C3"/>
    <w:rsid w:val="007C20E0"/>
    <w:rsid w:val="00814931"/>
    <w:rsid w:val="00851A1A"/>
    <w:rsid w:val="00870F75"/>
    <w:rsid w:val="00874A5E"/>
    <w:rsid w:val="008E2FC5"/>
    <w:rsid w:val="008F12EC"/>
    <w:rsid w:val="0091228F"/>
    <w:rsid w:val="009649AA"/>
    <w:rsid w:val="00973AC7"/>
    <w:rsid w:val="009F4D60"/>
    <w:rsid w:val="00A07D19"/>
    <w:rsid w:val="00A12385"/>
    <w:rsid w:val="00A144EB"/>
    <w:rsid w:val="00A2315C"/>
    <w:rsid w:val="00A50B6F"/>
    <w:rsid w:val="00A65DC1"/>
    <w:rsid w:val="00AF6934"/>
    <w:rsid w:val="00AF730C"/>
    <w:rsid w:val="00B0581F"/>
    <w:rsid w:val="00BB6EEC"/>
    <w:rsid w:val="00BD1CC0"/>
    <w:rsid w:val="00BE2D52"/>
    <w:rsid w:val="00C54AC4"/>
    <w:rsid w:val="00C94ADF"/>
    <w:rsid w:val="00C95A8C"/>
    <w:rsid w:val="00CB5F84"/>
    <w:rsid w:val="00CF0F55"/>
    <w:rsid w:val="00D1292C"/>
    <w:rsid w:val="00DC500C"/>
    <w:rsid w:val="00DC6711"/>
    <w:rsid w:val="00E23989"/>
    <w:rsid w:val="00E25B28"/>
    <w:rsid w:val="00E66AD0"/>
    <w:rsid w:val="00EA6699"/>
    <w:rsid w:val="00ED04D8"/>
    <w:rsid w:val="00F972B9"/>
    <w:rsid w:val="00FA27C0"/>
    <w:rsid w:val="00FE2579"/>
    <w:rsid w:val="550C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1 字符"/>
    <w:basedOn w:val="5"/>
    <w:link w:val="2"/>
    <w:uiPriority w:val="9"/>
    <w:rPr>
      <w:b/>
      <w:bCs/>
      <w:kern w:val="44"/>
      <w:sz w:val="44"/>
      <w:szCs w:val="44"/>
    </w:rPr>
  </w:style>
  <w:style w:type="character" w:customStyle="1" w:styleId="10">
    <w:name w:val="页眉 字符"/>
    <w:basedOn w:val="5"/>
    <w:link w:val="4"/>
    <w:semiHidden/>
    <w:uiPriority w:val="99"/>
    <w:rPr>
      <w:sz w:val="18"/>
      <w:szCs w:val="18"/>
    </w:rPr>
  </w:style>
  <w:style w:type="character" w:customStyle="1" w:styleId="11">
    <w:name w:val="页脚 字符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B6928D-4FBB-4623-8EE3-F86870B789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305</Words>
  <Characters>1743</Characters>
  <Lines>14</Lines>
  <Paragraphs>4</Paragraphs>
  <TotalTime>60</TotalTime>
  <ScaleCrop>false</ScaleCrop>
  <LinksUpToDate>false</LinksUpToDate>
  <CharactersWithSpaces>2044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2018-10-20T15:06:00Z</dcterms:created>
  <dc:creator>Think</dc:creator>
  <cp:lastModifiedBy>Administrator</cp:lastModifiedBy>
  <dcterms:modified xsi:type="dcterms:W3CDTF">2018-10-24T07:43:35Z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